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8B" w:rsidRDefault="00612F8B" w:rsidP="008A642C">
      <w:pPr>
        <w:jc w:val="center"/>
        <w:rPr>
          <w:rFonts w:ascii="Sylfaen" w:hAnsi="Sylfaen"/>
          <w:b/>
          <w:sz w:val="28"/>
          <w:lang w:val="ka-GE"/>
        </w:rPr>
      </w:pPr>
      <w:r w:rsidRPr="00612F8B">
        <w:rPr>
          <w:rFonts w:ascii="Sylfaen" w:hAnsi="Sylfaen"/>
          <w:b/>
          <w:sz w:val="28"/>
          <w:lang w:val="ka-GE"/>
        </w:rPr>
        <w:t>ტექნიკური დავალება</w:t>
      </w:r>
    </w:p>
    <w:p w:rsidR="006815D3" w:rsidRDefault="006815D3" w:rsidP="008A642C">
      <w:pPr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(</w:t>
      </w:r>
      <w:proofErr w:type="spellStart"/>
      <w:r>
        <w:rPr>
          <w:rFonts w:ascii="AcadNusx" w:hAnsi="AcadNusx"/>
          <w:b/>
          <w:sz w:val="28"/>
        </w:rPr>
        <w:t>mSeneblobis</w:t>
      </w:r>
      <w:proofErr w:type="spellEnd"/>
      <w:r>
        <w:rPr>
          <w:rFonts w:ascii="AcadNusx" w:hAnsi="AcadNusx"/>
          <w:b/>
          <w:sz w:val="28"/>
        </w:rPr>
        <w:t xml:space="preserve"> </w:t>
      </w:r>
      <w:proofErr w:type="spellStart"/>
      <w:r>
        <w:rPr>
          <w:rFonts w:ascii="AcadNusx" w:hAnsi="AcadNusx"/>
          <w:b/>
          <w:sz w:val="28"/>
        </w:rPr>
        <w:t>nebarTva</w:t>
      </w:r>
      <w:proofErr w:type="spellEnd"/>
      <w:r>
        <w:rPr>
          <w:rFonts w:ascii="Sylfaen" w:hAnsi="Sylfaen"/>
          <w:b/>
          <w:sz w:val="28"/>
        </w:rPr>
        <w:t>)</w:t>
      </w:r>
    </w:p>
    <w:p w:rsidR="004C606E" w:rsidRPr="00F32338" w:rsidRDefault="00F32338" w:rsidP="005B69F3">
      <w:pPr>
        <w:jc w:val="center"/>
        <w:rPr>
          <w:rFonts w:ascii="Sylfaen" w:hAnsi="Sylfaen"/>
          <w:b/>
          <w:sz w:val="28"/>
          <w:lang w:val="ka-GE"/>
        </w:rPr>
      </w:pPr>
      <w:r w:rsidRPr="00EE467E">
        <w:rPr>
          <w:rFonts w:ascii="Sylfaen" w:hAnsi="Sylfaen"/>
          <w:b/>
          <w:sz w:val="28"/>
          <w:highlight w:val="yellow"/>
          <w:lang w:val="ka-GE"/>
        </w:rPr>
        <w:t>დაჩქარებული წესით</w:t>
      </w:r>
    </w:p>
    <w:p w:rsidR="00612F8B" w:rsidRPr="005A209B" w:rsidRDefault="002A3F64" w:rsidP="00360118">
      <w:pPr>
        <w:ind w:firstLine="720"/>
        <w:jc w:val="both"/>
        <w:rPr>
          <w:rFonts w:ascii="Sylfaen" w:hAnsi="Sylfaen" w:cs="Arial"/>
          <w:spacing w:val="-2"/>
          <w:sz w:val="24"/>
          <w:szCs w:val="24"/>
          <w:lang w:val="ka-GE"/>
        </w:rPr>
      </w:pPr>
      <w:r>
        <w:rPr>
          <w:rFonts w:ascii="Sylfaen" w:hAnsi="Sylfaen" w:cs="Arial"/>
          <w:spacing w:val="-2"/>
          <w:sz w:val="24"/>
          <w:szCs w:val="24"/>
          <w:lang w:val="ka-GE"/>
        </w:rPr>
        <w:t>კონსულტა</w:t>
      </w:r>
      <w:r w:rsidR="00612F8B" w:rsidRPr="00655FF7">
        <w:rPr>
          <w:rFonts w:ascii="Sylfaen" w:hAnsi="Sylfaen" w:cs="Arial"/>
          <w:spacing w:val="-2"/>
          <w:sz w:val="24"/>
          <w:szCs w:val="24"/>
          <w:lang w:val="ka-GE"/>
        </w:rPr>
        <w:t xml:space="preserve">ნტი ვალდებულია მოამზადოს ქარის მონაცემების გამზომველი </w:t>
      </w:r>
      <w:r w:rsidR="000F1A1D">
        <w:rPr>
          <w:rFonts w:ascii="Sylfaen" w:hAnsi="Sylfaen" w:cs="Arial"/>
          <w:spacing w:val="-2"/>
          <w:sz w:val="24"/>
          <w:szCs w:val="24"/>
        </w:rPr>
        <w:t>2</w:t>
      </w:r>
      <w:r w:rsidR="00612F8B" w:rsidRPr="00655FF7">
        <w:rPr>
          <w:rFonts w:ascii="Sylfaen" w:hAnsi="Sylfaen" w:cs="Arial"/>
          <w:spacing w:val="-2"/>
          <w:sz w:val="24"/>
          <w:szCs w:val="24"/>
        </w:rPr>
        <w:t xml:space="preserve"> (</w:t>
      </w:r>
      <w:r w:rsidR="000F1A1D">
        <w:rPr>
          <w:rFonts w:ascii="Sylfaen" w:hAnsi="Sylfaen" w:cs="Arial"/>
          <w:spacing w:val="-2"/>
          <w:sz w:val="24"/>
          <w:szCs w:val="24"/>
          <w:lang w:val="ka-GE"/>
        </w:rPr>
        <w:t>ორი</w:t>
      </w:r>
      <w:r w:rsidR="000F1A1D">
        <w:rPr>
          <w:rFonts w:ascii="Sylfaen" w:hAnsi="Sylfaen" w:cs="Arial"/>
          <w:spacing w:val="-2"/>
          <w:sz w:val="24"/>
          <w:szCs w:val="24"/>
        </w:rPr>
        <w:t>)</w:t>
      </w:r>
      <w:r w:rsidR="00612F8B" w:rsidRPr="00655FF7">
        <w:rPr>
          <w:rFonts w:ascii="Sylfaen" w:hAnsi="Sylfaen" w:cs="Arial"/>
          <w:spacing w:val="-2"/>
          <w:sz w:val="24"/>
          <w:szCs w:val="24"/>
          <w:lang w:val="ka-GE"/>
        </w:rPr>
        <w:t xml:space="preserve"> მეტეოროლოგიური ანძის მშენებლობის ნებართვის</w:t>
      </w:r>
      <w:r w:rsidR="00942160">
        <w:rPr>
          <w:rFonts w:ascii="Sylfaen" w:hAnsi="Sylfaen" w:cs="Arial"/>
          <w:spacing w:val="-2"/>
          <w:sz w:val="24"/>
          <w:szCs w:val="24"/>
        </w:rPr>
        <w:t xml:space="preserve"> </w:t>
      </w:r>
      <w:r w:rsidR="00942160" w:rsidRPr="00655FF7">
        <w:rPr>
          <w:rFonts w:ascii="Sylfaen" w:hAnsi="Sylfaen" w:cs="Arial"/>
          <w:spacing w:val="-2"/>
          <w:sz w:val="24"/>
          <w:szCs w:val="24"/>
          <w:lang w:val="ka-GE"/>
        </w:rPr>
        <w:t>(</w:t>
      </w:r>
      <w:r w:rsidR="00942160" w:rsidRPr="00655FF7">
        <w:rPr>
          <w:rFonts w:ascii="Sylfaen" w:hAnsi="Sylfaen" w:cs="Arial"/>
          <w:spacing w:val="-2"/>
          <w:sz w:val="24"/>
          <w:szCs w:val="24"/>
        </w:rPr>
        <w:t xml:space="preserve">V </w:t>
      </w:r>
      <w:r w:rsidR="00942160" w:rsidRPr="00655FF7">
        <w:rPr>
          <w:rFonts w:ascii="Sylfaen" w:hAnsi="Sylfaen" w:cs="Arial"/>
          <w:spacing w:val="-2"/>
          <w:sz w:val="24"/>
          <w:szCs w:val="24"/>
          <w:lang w:val="ka-GE"/>
        </w:rPr>
        <w:t xml:space="preserve">კლასი) </w:t>
      </w:r>
      <w:r w:rsidR="00612F8B" w:rsidRPr="00655FF7">
        <w:rPr>
          <w:rFonts w:ascii="Sylfaen" w:hAnsi="Sylfaen" w:cs="Arial"/>
          <w:spacing w:val="-2"/>
          <w:sz w:val="24"/>
          <w:szCs w:val="24"/>
          <w:lang w:val="ka-GE"/>
        </w:rPr>
        <w:t xml:space="preserve"> მისაღებად საჭირო დოკუმენტაცია</w:t>
      </w:r>
      <w:r w:rsidR="00612F8B" w:rsidRPr="00655FF7">
        <w:rPr>
          <w:rFonts w:ascii="Sylfaen" w:hAnsi="Sylfaen" w:cs="Arial"/>
          <w:spacing w:val="-2"/>
          <w:sz w:val="24"/>
          <w:szCs w:val="24"/>
        </w:rPr>
        <w:t xml:space="preserve">, </w:t>
      </w:r>
      <w:r w:rsidR="00942160">
        <w:rPr>
          <w:rFonts w:ascii="Sylfaen" w:hAnsi="Sylfaen" w:cs="Arial"/>
          <w:spacing w:val="-2"/>
          <w:sz w:val="24"/>
          <w:szCs w:val="24"/>
          <w:lang w:val="ka-GE"/>
        </w:rPr>
        <w:t xml:space="preserve">წარადგინოს </w:t>
      </w:r>
      <w:r w:rsidR="00612F8B" w:rsidRPr="00655FF7">
        <w:rPr>
          <w:rFonts w:ascii="Sylfaen" w:hAnsi="Sylfaen" w:cs="Arial"/>
          <w:spacing w:val="-2"/>
          <w:sz w:val="24"/>
          <w:szCs w:val="24"/>
          <w:lang w:val="ka-GE"/>
        </w:rPr>
        <w:t xml:space="preserve">მომზადებული </w:t>
      </w:r>
      <w:r w:rsidR="00942160">
        <w:rPr>
          <w:rFonts w:ascii="Sylfaen" w:hAnsi="Sylfaen" w:cs="Arial"/>
          <w:spacing w:val="-2"/>
          <w:sz w:val="24"/>
          <w:szCs w:val="24"/>
          <w:lang w:val="ka-GE"/>
        </w:rPr>
        <w:t>დოკუმენტები</w:t>
      </w:r>
      <w:r w:rsidR="00612F8B" w:rsidRPr="00655FF7">
        <w:rPr>
          <w:rFonts w:ascii="Sylfaen" w:hAnsi="Sylfaen" w:cs="Arial"/>
          <w:spacing w:val="-2"/>
          <w:sz w:val="24"/>
          <w:szCs w:val="24"/>
          <w:lang w:val="ka-GE"/>
        </w:rPr>
        <w:t xml:space="preserve"> დამკვეთის სახელით</w:t>
      </w:r>
      <w:r w:rsidR="00360118">
        <w:rPr>
          <w:rFonts w:ascii="Sylfaen" w:hAnsi="Sylfaen" w:cs="Arial"/>
          <w:spacing w:val="-2"/>
          <w:sz w:val="24"/>
          <w:szCs w:val="24"/>
        </w:rPr>
        <w:t xml:space="preserve"> </w:t>
      </w:r>
      <w:r w:rsidR="00612F8B" w:rsidRPr="00655FF7">
        <w:rPr>
          <w:rFonts w:ascii="Sylfaen" w:hAnsi="Sylfaen" w:cs="Arial"/>
          <w:spacing w:val="-2"/>
          <w:sz w:val="24"/>
          <w:szCs w:val="24"/>
          <w:lang w:val="ka-GE"/>
        </w:rPr>
        <w:t xml:space="preserve">შესაბამის ადმინისტრაციულ ორგანოში და </w:t>
      </w:r>
      <w:r w:rsidR="00942160">
        <w:rPr>
          <w:rFonts w:ascii="Sylfaen" w:hAnsi="Sylfaen" w:cs="Arial"/>
          <w:spacing w:val="-2"/>
          <w:sz w:val="24"/>
          <w:szCs w:val="24"/>
          <w:lang w:val="ka-GE"/>
        </w:rPr>
        <w:t xml:space="preserve">გაუწიოს ზედამხედველობა </w:t>
      </w:r>
      <w:r w:rsidR="00612F8B" w:rsidRPr="00655FF7">
        <w:rPr>
          <w:rFonts w:ascii="Sylfaen" w:hAnsi="Sylfaen" w:cs="Arial"/>
          <w:spacing w:val="-2"/>
          <w:sz w:val="24"/>
          <w:szCs w:val="24"/>
          <w:lang w:val="ka-GE"/>
        </w:rPr>
        <w:t>მშენებლობის ნებართვის მიღებისათვის საჭირო ადმინისტრაციული წარმოებ</w:t>
      </w:r>
      <w:r w:rsidR="00942160">
        <w:rPr>
          <w:rFonts w:ascii="Sylfaen" w:hAnsi="Sylfaen" w:cs="Arial"/>
          <w:spacing w:val="-2"/>
          <w:sz w:val="24"/>
          <w:szCs w:val="24"/>
          <w:lang w:val="ka-GE"/>
        </w:rPr>
        <w:t>ას</w:t>
      </w:r>
      <w:r w:rsidR="005A209B">
        <w:rPr>
          <w:rFonts w:ascii="Sylfaen" w:hAnsi="Sylfaen" w:cs="Arial"/>
          <w:spacing w:val="-2"/>
          <w:sz w:val="24"/>
          <w:szCs w:val="24"/>
          <w:lang w:val="ka-GE"/>
        </w:rPr>
        <w:t xml:space="preserve">. მიუხედავად იმისა, რომ აღნიშნული მშენებლობა </w:t>
      </w:r>
      <w:r w:rsidR="005A209B">
        <w:rPr>
          <w:rFonts w:ascii="Sylfaen" w:hAnsi="Sylfaen" w:cs="Arial"/>
          <w:spacing w:val="-2"/>
          <w:sz w:val="24"/>
          <w:szCs w:val="24"/>
        </w:rPr>
        <w:t>V</w:t>
      </w:r>
      <w:r w:rsidR="005A209B">
        <w:rPr>
          <w:rFonts w:ascii="Sylfaen" w:hAnsi="Sylfaen" w:cs="Arial"/>
          <w:spacing w:val="-2"/>
          <w:sz w:val="24"/>
          <w:szCs w:val="24"/>
          <w:lang w:val="ka-GE"/>
        </w:rPr>
        <w:t xml:space="preserve"> კლასში გადის, გარემოს ზედამხედველობის შეფასების პროცედურის გაკეთება საჭირო არ არის, რადგან </w:t>
      </w:r>
      <w:r w:rsidR="00906B12">
        <w:rPr>
          <w:rFonts w:ascii="Sylfaen" w:hAnsi="Sylfaen" w:cs="Arial"/>
          <w:spacing w:val="-2"/>
          <w:sz w:val="24"/>
          <w:szCs w:val="24"/>
          <w:lang w:val="ka-GE"/>
        </w:rPr>
        <w:t xml:space="preserve">მეტეოროლოგიური </w:t>
      </w:r>
      <w:r w:rsidR="005A209B">
        <w:rPr>
          <w:rFonts w:ascii="Sylfaen" w:hAnsi="Sylfaen" w:cs="Arial"/>
          <w:spacing w:val="-2"/>
          <w:sz w:val="24"/>
          <w:szCs w:val="24"/>
          <w:lang w:val="ka-GE"/>
        </w:rPr>
        <w:t xml:space="preserve">ანძები დროებითი ნაგებობაა. </w:t>
      </w:r>
    </w:p>
    <w:p w:rsidR="005B69F3" w:rsidRDefault="00612F8B" w:rsidP="00851233">
      <w:pPr>
        <w:ind w:firstLine="720"/>
        <w:jc w:val="both"/>
        <w:rPr>
          <w:rFonts w:ascii="Sylfaen" w:hAnsi="Sylfaen" w:cs="Arial"/>
          <w:spacing w:val="-2"/>
          <w:sz w:val="24"/>
          <w:szCs w:val="24"/>
          <w:lang w:val="ka-GE"/>
        </w:rPr>
      </w:pPr>
      <w:r w:rsidRPr="00655FF7">
        <w:rPr>
          <w:rFonts w:ascii="Sylfaen" w:hAnsi="Sylfaen" w:cs="Arial"/>
          <w:spacing w:val="-2"/>
          <w:sz w:val="24"/>
          <w:szCs w:val="24"/>
          <w:lang w:val="ka-GE"/>
        </w:rPr>
        <w:t xml:space="preserve">კონსულტანტი ვალდებულია მომსახურების გაწევის პროცესში იხელმძღვანელოს საქართველოს კანონით „ლიცენზიებისა და ნებართვების შესახებ“ და „მშენებლობის ნებართვის გაცემის წესისა და სანებართვო პირობების შესახებ“ საქართველოს მთავრობის 2009 წლის 24 მარტის N57 დადგენილებით. </w:t>
      </w:r>
    </w:p>
    <w:p w:rsidR="00612F8B" w:rsidRPr="00655FF7" w:rsidRDefault="00612F8B" w:rsidP="00655FF7">
      <w:pPr>
        <w:ind w:firstLine="720"/>
        <w:jc w:val="both"/>
        <w:rPr>
          <w:rFonts w:ascii="Sylfaen" w:hAnsi="Sylfaen" w:cs="Arial"/>
          <w:spacing w:val="-2"/>
          <w:sz w:val="24"/>
          <w:szCs w:val="24"/>
          <w:lang w:val="ka-GE"/>
        </w:rPr>
      </w:pPr>
      <w:r w:rsidRPr="00655FF7">
        <w:rPr>
          <w:rFonts w:ascii="Sylfaen" w:hAnsi="Sylfaen" w:cs="Arial"/>
          <w:spacing w:val="-2"/>
          <w:sz w:val="24"/>
          <w:szCs w:val="24"/>
          <w:lang w:val="ka-GE"/>
        </w:rPr>
        <w:t>კონსულტანტის მიერ უნდა მომზადდეს</w:t>
      </w:r>
      <w:r w:rsidR="00655FF7" w:rsidRPr="00655FF7">
        <w:rPr>
          <w:rFonts w:ascii="Sylfaen" w:hAnsi="Sylfaen" w:cs="Arial"/>
          <w:spacing w:val="-2"/>
          <w:sz w:val="24"/>
          <w:szCs w:val="24"/>
        </w:rPr>
        <w:t xml:space="preserve"> </w:t>
      </w:r>
      <w:r w:rsidR="00655FF7" w:rsidRPr="00655FF7">
        <w:rPr>
          <w:rFonts w:ascii="Sylfaen" w:hAnsi="Sylfaen" w:cs="Arial"/>
          <w:spacing w:val="-2"/>
          <w:sz w:val="24"/>
          <w:szCs w:val="24"/>
          <w:lang w:val="ka-GE"/>
        </w:rPr>
        <w:t>და შესაბამის ადმინისტრაციულ ორგანოში ჩაბარდეს მოქმედი კანონმდებლობით მოთხოვნილი</w:t>
      </w:r>
      <w:r w:rsidRPr="00655FF7">
        <w:rPr>
          <w:rFonts w:ascii="Sylfaen" w:hAnsi="Sylfaen" w:cs="Arial"/>
          <w:spacing w:val="-2"/>
          <w:sz w:val="24"/>
          <w:szCs w:val="24"/>
          <w:lang w:val="ka-GE"/>
        </w:rPr>
        <w:t xml:space="preserve"> </w:t>
      </w:r>
      <w:r w:rsidR="00655FF7" w:rsidRPr="00655FF7">
        <w:rPr>
          <w:rFonts w:ascii="Sylfaen" w:hAnsi="Sylfaen" w:cs="Arial"/>
          <w:spacing w:val="-2"/>
          <w:sz w:val="24"/>
          <w:szCs w:val="24"/>
          <w:lang w:val="ka-GE"/>
        </w:rPr>
        <w:t xml:space="preserve">ყველა დოკუმენტი, მათ შორის: </w:t>
      </w:r>
    </w:p>
    <w:p w:rsidR="00612F8B" w:rsidRDefault="00655FF7" w:rsidP="00655FF7">
      <w:pPr>
        <w:pStyle w:val="Default"/>
        <w:jc w:val="both"/>
        <w:rPr>
          <w:b/>
          <w:lang w:val="ka-GE"/>
        </w:rPr>
      </w:pPr>
      <w:r w:rsidRPr="00655FF7">
        <w:rPr>
          <w:b/>
          <w:lang w:val="ka-GE"/>
        </w:rPr>
        <w:t xml:space="preserve">პირველი სტადიისთვის (მიწის ნაკვეთის სამშენებლოდ გამოყენების პირობების დამტკიცება): </w:t>
      </w:r>
    </w:p>
    <w:p w:rsidR="00851233" w:rsidRPr="005B69F3" w:rsidRDefault="00851233" w:rsidP="00851233">
      <w:pPr>
        <w:pStyle w:val="ListParagraph"/>
        <w:numPr>
          <w:ilvl w:val="0"/>
          <w:numId w:val="5"/>
        </w:numPr>
        <w:ind w:left="720"/>
        <w:jc w:val="both"/>
        <w:rPr>
          <w:rFonts w:ascii="Sylfaen" w:hAnsi="Sylfaen" w:cs="Arial"/>
          <w:spacing w:val="-2"/>
          <w:sz w:val="24"/>
          <w:szCs w:val="24"/>
          <w:lang w:val="ka-GE"/>
        </w:rPr>
      </w:pPr>
      <w:r w:rsidRPr="005B69F3">
        <w:rPr>
          <w:rFonts w:ascii="Sylfaen" w:hAnsi="Sylfaen" w:cs="Arial"/>
          <w:spacing w:val="-2"/>
          <w:sz w:val="24"/>
          <w:szCs w:val="24"/>
          <w:lang w:val="ka-GE"/>
        </w:rPr>
        <w:t xml:space="preserve">მიწის ნაკვეთის ტოპოგრაფიული გეგმა არსებული მდგომარეობით (მასშტაბი 1:500 ან 1:1000); </w:t>
      </w:r>
    </w:p>
    <w:p w:rsidR="00851233" w:rsidRPr="00851233" w:rsidRDefault="00851233" w:rsidP="00655FF7">
      <w:pPr>
        <w:pStyle w:val="ListParagraph"/>
        <w:numPr>
          <w:ilvl w:val="0"/>
          <w:numId w:val="5"/>
        </w:numPr>
        <w:ind w:left="720"/>
        <w:jc w:val="both"/>
        <w:rPr>
          <w:rFonts w:ascii="Sylfaen" w:hAnsi="Sylfaen" w:cs="Arial"/>
          <w:spacing w:val="-2"/>
          <w:sz w:val="24"/>
          <w:szCs w:val="24"/>
          <w:lang w:val="ka-GE"/>
        </w:rPr>
      </w:pPr>
      <w:r w:rsidRPr="005B69F3">
        <w:rPr>
          <w:rFonts w:ascii="Sylfaen" w:hAnsi="Sylfaen" w:cs="Arial"/>
          <w:spacing w:val="-2"/>
          <w:sz w:val="24"/>
          <w:szCs w:val="24"/>
          <w:lang w:val="ka-GE"/>
        </w:rPr>
        <w:t>მ</w:t>
      </w:r>
      <w:bookmarkStart w:id="0" w:name="_GoBack"/>
      <w:bookmarkEnd w:id="0"/>
      <w:r w:rsidRPr="005B69F3">
        <w:rPr>
          <w:rFonts w:ascii="Sylfaen" w:hAnsi="Sylfaen" w:cs="Arial"/>
          <w:spacing w:val="-2"/>
          <w:sz w:val="24"/>
          <w:szCs w:val="24"/>
          <w:lang w:val="ka-GE"/>
        </w:rPr>
        <w:t>იწის ნაკვეთის სიტუაციური გეგმა სათანადო დეტალიზაციით</w:t>
      </w:r>
      <w:r>
        <w:rPr>
          <w:rFonts w:ascii="Sylfaen" w:hAnsi="Sylfaen" w:cs="Arial"/>
          <w:spacing w:val="-2"/>
          <w:sz w:val="24"/>
          <w:szCs w:val="24"/>
          <w:lang w:val="ka-GE"/>
        </w:rPr>
        <w:t>.</w:t>
      </w:r>
    </w:p>
    <w:p w:rsidR="00612F8B" w:rsidRPr="00655FF7" w:rsidRDefault="00612F8B" w:rsidP="00655FF7">
      <w:pPr>
        <w:pStyle w:val="Default"/>
        <w:numPr>
          <w:ilvl w:val="0"/>
          <w:numId w:val="1"/>
        </w:numPr>
        <w:jc w:val="both"/>
      </w:pPr>
      <w:proofErr w:type="spellStart"/>
      <w:r w:rsidRPr="00655FF7">
        <w:t>კულტურული</w:t>
      </w:r>
      <w:proofErr w:type="spellEnd"/>
      <w:r w:rsidRPr="00655FF7">
        <w:t xml:space="preserve"> </w:t>
      </w:r>
      <w:proofErr w:type="spellStart"/>
      <w:r w:rsidRPr="00655FF7">
        <w:t>მემკვიდრეობის</w:t>
      </w:r>
      <w:proofErr w:type="spellEnd"/>
      <w:r w:rsidRPr="00655FF7">
        <w:t xml:space="preserve"> </w:t>
      </w:r>
      <w:proofErr w:type="spellStart"/>
      <w:r w:rsidRPr="00655FF7">
        <w:t>დაცვის</w:t>
      </w:r>
      <w:proofErr w:type="spellEnd"/>
      <w:r w:rsidRPr="00655FF7">
        <w:t xml:space="preserve"> </w:t>
      </w:r>
      <w:proofErr w:type="spellStart"/>
      <w:r w:rsidRPr="00655FF7">
        <w:t>ზონის</w:t>
      </w:r>
      <w:proofErr w:type="spellEnd"/>
      <w:r w:rsidRPr="00655FF7">
        <w:t xml:space="preserve"> </w:t>
      </w:r>
      <w:proofErr w:type="spellStart"/>
      <w:r w:rsidRPr="00655FF7">
        <w:t>კვლევის</w:t>
      </w:r>
      <w:proofErr w:type="spellEnd"/>
      <w:r w:rsidRPr="00655FF7">
        <w:t xml:space="preserve"> </w:t>
      </w:r>
      <w:proofErr w:type="spellStart"/>
      <w:r w:rsidRPr="00655FF7">
        <w:t>შედეგები</w:t>
      </w:r>
      <w:proofErr w:type="spellEnd"/>
      <w:r w:rsidRPr="00655FF7">
        <w:t xml:space="preserve"> </w:t>
      </w:r>
    </w:p>
    <w:p w:rsidR="00612F8B" w:rsidRPr="00655FF7" w:rsidRDefault="00612F8B" w:rsidP="00655FF7">
      <w:pPr>
        <w:pStyle w:val="Default"/>
        <w:numPr>
          <w:ilvl w:val="0"/>
          <w:numId w:val="1"/>
        </w:numPr>
        <w:spacing w:after="200"/>
        <w:jc w:val="both"/>
      </w:pPr>
      <w:proofErr w:type="spellStart"/>
      <w:r w:rsidRPr="00655FF7">
        <w:t>არქეოლოგიური</w:t>
      </w:r>
      <w:proofErr w:type="spellEnd"/>
      <w:r w:rsidRPr="00655FF7">
        <w:t xml:space="preserve"> </w:t>
      </w:r>
      <w:proofErr w:type="spellStart"/>
      <w:r w:rsidRPr="00655FF7">
        <w:t>კვლევის</w:t>
      </w:r>
      <w:proofErr w:type="spellEnd"/>
      <w:r w:rsidRPr="00655FF7">
        <w:t xml:space="preserve"> </w:t>
      </w:r>
      <w:proofErr w:type="spellStart"/>
      <w:r w:rsidRPr="00655FF7">
        <w:t>შედეგები</w:t>
      </w:r>
      <w:proofErr w:type="spellEnd"/>
      <w:r w:rsidRPr="00655FF7">
        <w:t xml:space="preserve"> </w:t>
      </w:r>
    </w:p>
    <w:p w:rsidR="00612F8B" w:rsidRPr="00655FF7" w:rsidRDefault="00612F8B" w:rsidP="00655FF7">
      <w:pPr>
        <w:pStyle w:val="Default"/>
        <w:numPr>
          <w:ilvl w:val="0"/>
          <w:numId w:val="1"/>
        </w:numPr>
        <w:spacing w:after="200"/>
        <w:jc w:val="both"/>
      </w:pPr>
      <w:proofErr w:type="spellStart"/>
      <w:r w:rsidRPr="00655FF7">
        <w:t>თვალსაჩინო</w:t>
      </w:r>
      <w:proofErr w:type="spellEnd"/>
      <w:r w:rsidRPr="00655FF7">
        <w:t xml:space="preserve"> </w:t>
      </w:r>
      <w:proofErr w:type="spellStart"/>
      <w:r w:rsidRPr="00655FF7">
        <w:t>ადგილას</w:t>
      </w:r>
      <w:proofErr w:type="spellEnd"/>
      <w:r w:rsidRPr="00655FF7">
        <w:t xml:space="preserve"> </w:t>
      </w:r>
      <w:proofErr w:type="spellStart"/>
      <w:r w:rsidRPr="00655FF7">
        <w:t>საინფორმაციო</w:t>
      </w:r>
      <w:proofErr w:type="spellEnd"/>
      <w:r w:rsidRPr="00655FF7">
        <w:t xml:space="preserve"> </w:t>
      </w:r>
      <w:proofErr w:type="spellStart"/>
      <w:r w:rsidRPr="00655FF7">
        <w:t>დაფის</w:t>
      </w:r>
      <w:proofErr w:type="spellEnd"/>
      <w:r w:rsidRPr="00655FF7">
        <w:t xml:space="preserve"> </w:t>
      </w:r>
      <w:proofErr w:type="spellStart"/>
      <w:r w:rsidRPr="00655FF7">
        <w:t>განთავსების</w:t>
      </w:r>
      <w:proofErr w:type="spellEnd"/>
      <w:r w:rsidRPr="00655FF7">
        <w:t xml:space="preserve"> </w:t>
      </w:r>
      <w:proofErr w:type="spellStart"/>
      <w:r w:rsidRPr="00655FF7">
        <w:t>დამადასტურებელი</w:t>
      </w:r>
      <w:proofErr w:type="spellEnd"/>
      <w:r w:rsidRPr="00655FF7">
        <w:t xml:space="preserve"> </w:t>
      </w:r>
      <w:proofErr w:type="spellStart"/>
      <w:r w:rsidRPr="00655FF7">
        <w:t>ფოტოსურათი</w:t>
      </w:r>
      <w:proofErr w:type="spellEnd"/>
      <w:r w:rsidRPr="00655FF7">
        <w:t xml:space="preserve"> </w:t>
      </w:r>
    </w:p>
    <w:p w:rsidR="00655FF7" w:rsidRPr="00655FF7" w:rsidRDefault="00612F8B" w:rsidP="00655FF7">
      <w:pPr>
        <w:pStyle w:val="Default"/>
        <w:numPr>
          <w:ilvl w:val="0"/>
          <w:numId w:val="1"/>
        </w:numPr>
        <w:jc w:val="both"/>
      </w:pPr>
      <w:proofErr w:type="spellStart"/>
      <w:r w:rsidRPr="00655FF7">
        <w:t>მიწის</w:t>
      </w:r>
      <w:proofErr w:type="spellEnd"/>
      <w:r w:rsidRPr="00655FF7">
        <w:t xml:space="preserve"> </w:t>
      </w:r>
      <w:proofErr w:type="spellStart"/>
      <w:r w:rsidRPr="00655FF7">
        <w:t>ნაკვეთის</w:t>
      </w:r>
      <w:proofErr w:type="spellEnd"/>
      <w:r w:rsidRPr="00655FF7">
        <w:t xml:space="preserve"> </w:t>
      </w:r>
      <w:proofErr w:type="spellStart"/>
      <w:r w:rsidRPr="00655FF7">
        <w:t>საკადასტრო</w:t>
      </w:r>
      <w:proofErr w:type="spellEnd"/>
      <w:r w:rsidRPr="00655FF7">
        <w:t xml:space="preserve"> </w:t>
      </w:r>
      <w:proofErr w:type="spellStart"/>
      <w:r w:rsidRPr="00655FF7">
        <w:t>გეგმა</w:t>
      </w:r>
      <w:proofErr w:type="spellEnd"/>
      <w:r w:rsidRPr="00655FF7">
        <w:rPr>
          <w:rFonts w:cs="AcadNusx"/>
        </w:rPr>
        <w:t xml:space="preserve">, </w:t>
      </w:r>
      <w:proofErr w:type="spellStart"/>
      <w:r w:rsidRPr="00655FF7">
        <w:t>მიწის</w:t>
      </w:r>
      <w:proofErr w:type="spellEnd"/>
      <w:r w:rsidRPr="00655FF7">
        <w:t xml:space="preserve"> </w:t>
      </w:r>
      <w:proofErr w:type="spellStart"/>
      <w:r w:rsidRPr="00655FF7">
        <w:t>ნაკვეთის</w:t>
      </w:r>
      <w:proofErr w:type="spellEnd"/>
      <w:r w:rsidRPr="00655FF7">
        <w:t xml:space="preserve"> </w:t>
      </w:r>
      <w:proofErr w:type="spellStart"/>
      <w:r w:rsidRPr="00655FF7">
        <w:t>სამეზობლო</w:t>
      </w:r>
      <w:proofErr w:type="spellEnd"/>
      <w:r w:rsidRPr="00655FF7">
        <w:t xml:space="preserve"> </w:t>
      </w:r>
      <w:proofErr w:type="spellStart"/>
      <w:r w:rsidRPr="00655FF7">
        <w:t>და</w:t>
      </w:r>
      <w:proofErr w:type="spellEnd"/>
      <w:r w:rsidRPr="00655FF7">
        <w:t xml:space="preserve"> </w:t>
      </w:r>
      <w:proofErr w:type="spellStart"/>
      <w:r w:rsidRPr="00655FF7">
        <w:t>საზოგადოებრივი</w:t>
      </w:r>
      <w:proofErr w:type="spellEnd"/>
      <w:r w:rsidRPr="00655FF7">
        <w:t xml:space="preserve"> </w:t>
      </w:r>
      <w:proofErr w:type="spellStart"/>
      <w:r w:rsidRPr="00655FF7">
        <w:t>საზღვრის</w:t>
      </w:r>
      <w:proofErr w:type="spellEnd"/>
      <w:r w:rsidRPr="00655FF7">
        <w:t xml:space="preserve"> </w:t>
      </w:r>
      <w:proofErr w:type="spellStart"/>
      <w:r w:rsidRPr="00655FF7">
        <w:t>მიმდებარე</w:t>
      </w:r>
      <w:proofErr w:type="spellEnd"/>
      <w:r w:rsidRPr="00655FF7">
        <w:t xml:space="preserve"> </w:t>
      </w:r>
      <w:proofErr w:type="spellStart"/>
      <w:r w:rsidRPr="00655FF7">
        <w:t>ნაკვეთების</w:t>
      </w:r>
      <w:proofErr w:type="spellEnd"/>
      <w:r w:rsidRPr="00655FF7">
        <w:rPr>
          <w:rFonts w:cs="AcadNusx"/>
        </w:rPr>
        <w:t>/</w:t>
      </w:r>
      <w:proofErr w:type="spellStart"/>
      <w:r w:rsidRPr="00655FF7">
        <w:t>სივრცეების</w:t>
      </w:r>
      <w:proofErr w:type="spellEnd"/>
      <w:r w:rsidRPr="00655FF7">
        <w:t xml:space="preserve"> </w:t>
      </w:r>
      <w:proofErr w:type="spellStart"/>
      <w:r w:rsidRPr="00655FF7">
        <w:t>საზღვრები</w:t>
      </w:r>
      <w:proofErr w:type="spellEnd"/>
      <w:r w:rsidRPr="00655FF7">
        <w:rPr>
          <w:rFonts w:cs="AcadNusx"/>
        </w:rPr>
        <w:t xml:space="preserve">. </w:t>
      </w:r>
      <w:proofErr w:type="spellStart"/>
      <w:r w:rsidRPr="00655FF7">
        <w:t>საზღვრების</w:t>
      </w:r>
      <w:proofErr w:type="spellEnd"/>
      <w:r w:rsidRPr="00655FF7">
        <w:t xml:space="preserve"> </w:t>
      </w:r>
      <w:proofErr w:type="spellStart"/>
      <w:r w:rsidRPr="00655FF7">
        <w:t>ის</w:t>
      </w:r>
      <w:proofErr w:type="spellEnd"/>
      <w:r w:rsidRPr="00655FF7">
        <w:t xml:space="preserve"> </w:t>
      </w:r>
      <w:proofErr w:type="spellStart"/>
      <w:r w:rsidRPr="00655FF7">
        <w:t>წერტილები</w:t>
      </w:r>
      <w:proofErr w:type="spellEnd"/>
      <w:r w:rsidRPr="00655FF7">
        <w:rPr>
          <w:rFonts w:cs="AcadNusx"/>
        </w:rPr>
        <w:t xml:space="preserve">, </w:t>
      </w:r>
      <w:proofErr w:type="spellStart"/>
      <w:r w:rsidRPr="00655FF7">
        <w:t>სადაც</w:t>
      </w:r>
      <w:proofErr w:type="spellEnd"/>
      <w:r w:rsidRPr="00655FF7">
        <w:t xml:space="preserve"> </w:t>
      </w:r>
      <w:proofErr w:type="spellStart"/>
      <w:r w:rsidRPr="00655FF7">
        <w:t>იქმნება</w:t>
      </w:r>
      <w:proofErr w:type="spellEnd"/>
      <w:r w:rsidRPr="00655FF7">
        <w:t xml:space="preserve"> </w:t>
      </w:r>
      <w:proofErr w:type="spellStart"/>
      <w:r w:rsidRPr="00655FF7">
        <w:t>კუთხეები</w:t>
      </w:r>
      <w:proofErr w:type="spellEnd"/>
      <w:r w:rsidRPr="00655FF7">
        <w:rPr>
          <w:rFonts w:cs="AcadNusx"/>
        </w:rPr>
        <w:t xml:space="preserve">, </w:t>
      </w:r>
      <w:proofErr w:type="spellStart"/>
      <w:r w:rsidRPr="00655FF7">
        <w:t>აღნიშნულ</w:t>
      </w:r>
      <w:proofErr w:type="spellEnd"/>
      <w:r w:rsidRPr="00655FF7">
        <w:t xml:space="preserve"> </w:t>
      </w:r>
      <w:proofErr w:type="spellStart"/>
      <w:r w:rsidRPr="00655FF7">
        <w:t>უნდა</w:t>
      </w:r>
      <w:proofErr w:type="spellEnd"/>
      <w:r w:rsidRPr="00655FF7">
        <w:t xml:space="preserve"> </w:t>
      </w:r>
      <w:proofErr w:type="spellStart"/>
      <w:r w:rsidRPr="00655FF7">
        <w:t>იქნეს</w:t>
      </w:r>
      <w:proofErr w:type="spellEnd"/>
      <w:r w:rsidRPr="00655FF7">
        <w:t xml:space="preserve"> </w:t>
      </w:r>
      <w:proofErr w:type="spellStart"/>
      <w:r w:rsidRPr="00655FF7">
        <w:t>წერტილით</w:t>
      </w:r>
      <w:proofErr w:type="spellEnd"/>
      <w:r w:rsidRPr="00655FF7">
        <w:rPr>
          <w:rFonts w:cs="AcadNusx"/>
        </w:rPr>
        <w:t xml:space="preserve">, </w:t>
      </w:r>
      <w:proofErr w:type="spellStart"/>
      <w:r w:rsidRPr="00655FF7">
        <w:t>მისი</w:t>
      </w:r>
      <w:proofErr w:type="spellEnd"/>
      <w:r w:rsidRPr="00655FF7">
        <w:t xml:space="preserve"> </w:t>
      </w:r>
      <w:proofErr w:type="spellStart"/>
      <w:r w:rsidRPr="00655FF7">
        <w:t>კოორდინატებისა</w:t>
      </w:r>
      <w:proofErr w:type="spellEnd"/>
      <w:r w:rsidRPr="00655FF7">
        <w:t xml:space="preserve"> </w:t>
      </w:r>
      <w:proofErr w:type="spellStart"/>
      <w:r w:rsidRPr="00655FF7">
        <w:t>და</w:t>
      </w:r>
      <w:proofErr w:type="spellEnd"/>
      <w:r w:rsidRPr="00655FF7">
        <w:t xml:space="preserve"> </w:t>
      </w:r>
      <w:proofErr w:type="spellStart"/>
      <w:r w:rsidRPr="00655FF7">
        <w:t>აბსოლუტური</w:t>
      </w:r>
      <w:proofErr w:type="spellEnd"/>
      <w:r w:rsidRPr="00655FF7">
        <w:t xml:space="preserve"> </w:t>
      </w:r>
      <w:proofErr w:type="spellStart"/>
      <w:r w:rsidRPr="00655FF7">
        <w:t>ნიშნულის</w:t>
      </w:r>
      <w:proofErr w:type="spellEnd"/>
      <w:r w:rsidRPr="00655FF7">
        <w:t xml:space="preserve"> </w:t>
      </w:r>
      <w:proofErr w:type="spellStart"/>
      <w:r w:rsidRPr="00655FF7">
        <w:t>მითითებით</w:t>
      </w:r>
      <w:proofErr w:type="spellEnd"/>
      <w:r w:rsidRPr="00655FF7">
        <w:t xml:space="preserve"> </w:t>
      </w:r>
    </w:p>
    <w:p w:rsidR="00655FF7" w:rsidRPr="00655FF7" w:rsidRDefault="00655FF7" w:rsidP="00655FF7">
      <w:pPr>
        <w:pStyle w:val="Default"/>
        <w:numPr>
          <w:ilvl w:val="0"/>
          <w:numId w:val="1"/>
        </w:numPr>
        <w:jc w:val="both"/>
      </w:pPr>
      <w:proofErr w:type="spellStart"/>
      <w:r w:rsidRPr="00655FF7">
        <w:lastRenderedPageBreak/>
        <w:t>მიწის</w:t>
      </w:r>
      <w:proofErr w:type="spellEnd"/>
      <w:r w:rsidRPr="00655FF7">
        <w:t xml:space="preserve"> </w:t>
      </w:r>
      <w:proofErr w:type="spellStart"/>
      <w:r w:rsidRPr="00655FF7">
        <w:t>ნაკვეთის</w:t>
      </w:r>
      <w:proofErr w:type="spellEnd"/>
      <w:r w:rsidRPr="00655FF7">
        <w:t xml:space="preserve"> </w:t>
      </w:r>
      <w:proofErr w:type="spellStart"/>
      <w:r w:rsidRPr="00655FF7">
        <w:t>მდგომარეობის</w:t>
      </w:r>
      <w:proofErr w:type="spellEnd"/>
      <w:r w:rsidRPr="00655FF7">
        <w:t xml:space="preserve"> </w:t>
      </w:r>
      <w:proofErr w:type="spellStart"/>
      <w:r w:rsidRPr="00655FF7">
        <w:t>ამსახველი</w:t>
      </w:r>
      <w:proofErr w:type="spellEnd"/>
      <w:r w:rsidRPr="00655FF7">
        <w:t xml:space="preserve"> </w:t>
      </w:r>
      <w:proofErr w:type="spellStart"/>
      <w:r w:rsidRPr="00655FF7">
        <w:t>ფოტო</w:t>
      </w:r>
      <w:r w:rsidRPr="00655FF7">
        <w:rPr>
          <w:rFonts w:cs="AcadNusx"/>
        </w:rPr>
        <w:t>¬</w:t>
      </w:r>
      <w:r w:rsidRPr="00655FF7">
        <w:t>მასალა</w:t>
      </w:r>
      <w:proofErr w:type="spellEnd"/>
      <w:r w:rsidRPr="00655FF7">
        <w:t xml:space="preserve"> </w:t>
      </w:r>
    </w:p>
    <w:p w:rsidR="00655FF7" w:rsidRPr="00655FF7" w:rsidRDefault="00655FF7" w:rsidP="00655FF7">
      <w:pPr>
        <w:pStyle w:val="Default"/>
        <w:numPr>
          <w:ilvl w:val="0"/>
          <w:numId w:val="1"/>
        </w:numPr>
        <w:jc w:val="both"/>
      </w:pPr>
      <w:proofErr w:type="spellStart"/>
      <w:r w:rsidRPr="00655FF7">
        <w:t>განაცხადი</w:t>
      </w:r>
      <w:proofErr w:type="spellEnd"/>
      <w:r w:rsidRPr="00655FF7">
        <w:t xml:space="preserve"> </w:t>
      </w:r>
      <w:proofErr w:type="spellStart"/>
      <w:r w:rsidRPr="00655FF7">
        <w:t>მიწის</w:t>
      </w:r>
      <w:proofErr w:type="spellEnd"/>
      <w:r w:rsidRPr="00655FF7">
        <w:t xml:space="preserve"> </w:t>
      </w:r>
      <w:proofErr w:type="spellStart"/>
      <w:r w:rsidRPr="00655FF7">
        <w:t>ნაკვეთის</w:t>
      </w:r>
      <w:proofErr w:type="spellEnd"/>
      <w:r w:rsidRPr="00655FF7">
        <w:t xml:space="preserve"> </w:t>
      </w:r>
      <w:proofErr w:type="spellStart"/>
      <w:r w:rsidRPr="00655FF7">
        <w:t>სამშენებლოდ</w:t>
      </w:r>
      <w:proofErr w:type="spellEnd"/>
      <w:r w:rsidRPr="00655FF7">
        <w:t xml:space="preserve"> </w:t>
      </w:r>
      <w:proofErr w:type="spellStart"/>
      <w:r w:rsidRPr="00655FF7">
        <w:t>გამოყენების</w:t>
      </w:r>
      <w:proofErr w:type="spellEnd"/>
      <w:r w:rsidRPr="00655FF7">
        <w:t xml:space="preserve"> </w:t>
      </w:r>
      <w:proofErr w:type="spellStart"/>
      <w:r w:rsidRPr="00655FF7">
        <w:t>პირობების</w:t>
      </w:r>
      <w:proofErr w:type="spellEnd"/>
      <w:r w:rsidRPr="00655FF7">
        <w:t xml:space="preserve"> </w:t>
      </w:r>
      <w:proofErr w:type="spellStart"/>
      <w:r w:rsidRPr="00655FF7">
        <w:t>შესახებ</w:t>
      </w:r>
      <w:proofErr w:type="spellEnd"/>
      <w:r w:rsidRPr="00655FF7">
        <w:t xml:space="preserve"> </w:t>
      </w:r>
    </w:p>
    <w:p w:rsidR="00612F8B" w:rsidRPr="00655FF7" w:rsidRDefault="00612F8B" w:rsidP="00655FF7">
      <w:pPr>
        <w:pStyle w:val="Default"/>
        <w:ind w:left="360"/>
        <w:jc w:val="both"/>
        <w:rPr>
          <w:rFonts w:cs="AcadNusx"/>
        </w:rPr>
      </w:pPr>
    </w:p>
    <w:p w:rsidR="00655FF7" w:rsidRPr="00655FF7" w:rsidRDefault="00655FF7" w:rsidP="00655FF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55FF7">
        <w:rPr>
          <w:rFonts w:ascii="Sylfaen" w:hAnsi="Sylfaen"/>
          <w:b/>
          <w:sz w:val="24"/>
          <w:szCs w:val="24"/>
          <w:lang w:val="ka-GE"/>
        </w:rPr>
        <w:t>მეორე სტადიისთვის (</w:t>
      </w:r>
      <w:proofErr w:type="spellStart"/>
      <w:r w:rsidRPr="00655FF7">
        <w:rPr>
          <w:rFonts w:ascii="Sylfaen" w:hAnsi="Sylfaen" w:cs="Sylfaen"/>
          <w:b/>
          <w:sz w:val="24"/>
          <w:szCs w:val="24"/>
        </w:rPr>
        <w:t>არქიტექტურული</w:t>
      </w:r>
      <w:proofErr w:type="spellEnd"/>
      <w:r w:rsidRPr="00655FF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5FF7">
        <w:rPr>
          <w:rFonts w:ascii="Sylfaen" w:hAnsi="Sylfaen" w:cs="Sylfaen"/>
          <w:b/>
          <w:sz w:val="24"/>
          <w:szCs w:val="24"/>
        </w:rPr>
        <w:t>პროექტის</w:t>
      </w:r>
      <w:proofErr w:type="spellEnd"/>
      <w:r w:rsidRPr="00655FF7">
        <w:rPr>
          <w:rFonts w:ascii="Sylfaen" w:hAnsi="Sylfaen" w:cs="AcadNusx"/>
          <w:b/>
          <w:sz w:val="24"/>
          <w:szCs w:val="24"/>
        </w:rPr>
        <w:t xml:space="preserve">, </w:t>
      </w:r>
      <w:proofErr w:type="spellStart"/>
      <w:r w:rsidRPr="00655FF7">
        <w:rPr>
          <w:rFonts w:ascii="Sylfaen" w:hAnsi="Sylfaen" w:cs="Sylfaen"/>
          <w:b/>
          <w:sz w:val="24"/>
          <w:szCs w:val="24"/>
        </w:rPr>
        <w:t>კონსტრუქციული</w:t>
      </w:r>
      <w:proofErr w:type="spellEnd"/>
      <w:r w:rsidRPr="00655FF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5FF7">
        <w:rPr>
          <w:rFonts w:ascii="Sylfaen" w:hAnsi="Sylfaen" w:cs="Sylfaen"/>
          <w:b/>
          <w:sz w:val="24"/>
          <w:szCs w:val="24"/>
        </w:rPr>
        <w:t>ან</w:t>
      </w:r>
      <w:proofErr w:type="spellEnd"/>
      <w:r w:rsidRPr="00655FF7">
        <w:rPr>
          <w:rFonts w:ascii="Sylfaen" w:hAnsi="Sylfaen" w:cs="AcadNusx"/>
          <w:b/>
          <w:sz w:val="24"/>
          <w:szCs w:val="24"/>
        </w:rPr>
        <w:t>/</w:t>
      </w:r>
      <w:proofErr w:type="spellStart"/>
      <w:r w:rsidRPr="00655FF7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655FF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5FF7">
        <w:rPr>
          <w:rFonts w:ascii="Sylfaen" w:hAnsi="Sylfaen" w:cs="Sylfaen"/>
          <w:b/>
          <w:sz w:val="24"/>
          <w:szCs w:val="24"/>
        </w:rPr>
        <w:t>ტექნოლოგიური</w:t>
      </w:r>
      <w:proofErr w:type="spellEnd"/>
      <w:r w:rsidRPr="00655FF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5FF7">
        <w:rPr>
          <w:rFonts w:ascii="Sylfaen" w:hAnsi="Sylfaen" w:cs="Sylfaen"/>
          <w:b/>
          <w:sz w:val="24"/>
          <w:szCs w:val="24"/>
        </w:rPr>
        <w:t>სქემის</w:t>
      </w:r>
      <w:proofErr w:type="spellEnd"/>
      <w:r w:rsidRPr="00655FF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5FF7">
        <w:rPr>
          <w:rFonts w:ascii="Sylfaen" w:hAnsi="Sylfaen" w:cs="Sylfaen"/>
          <w:b/>
          <w:sz w:val="24"/>
          <w:szCs w:val="24"/>
        </w:rPr>
        <w:t>შეთანხმება</w:t>
      </w:r>
      <w:proofErr w:type="spellEnd"/>
      <w:r w:rsidRPr="00655FF7">
        <w:rPr>
          <w:rFonts w:ascii="Sylfaen" w:hAnsi="Sylfaen" w:cs="Sylfaen"/>
          <w:b/>
          <w:sz w:val="24"/>
          <w:szCs w:val="24"/>
          <w:lang w:val="ka-GE"/>
        </w:rPr>
        <w:t>)</w:t>
      </w:r>
      <w:r w:rsidRPr="00655FF7">
        <w:rPr>
          <w:rFonts w:ascii="Sylfaen" w:hAnsi="Sylfaen"/>
          <w:b/>
          <w:sz w:val="24"/>
          <w:szCs w:val="24"/>
          <w:lang w:val="ka-GE"/>
        </w:rPr>
        <w:t>:</w:t>
      </w:r>
    </w:p>
    <w:p w:rsidR="00655FF7" w:rsidRPr="00BA4315" w:rsidRDefault="00655FF7" w:rsidP="00655FF7">
      <w:pPr>
        <w:pStyle w:val="Default"/>
        <w:numPr>
          <w:ilvl w:val="0"/>
          <w:numId w:val="2"/>
        </w:numPr>
        <w:jc w:val="both"/>
      </w:pPr>
      <w:proofErr w:type="spellStart"/>
      <w:r w:rsidRPr="00BA4315">
        <w:t>არქიტექტურული</w:t>
      </w:r>
      <w:proofErr w:type="spellEnd"/>
      <w:r w:rsidRPr="00BA4315">
        <w:t xml:space="preserve"> </w:t>
      </w:r>
      <w:proofErr w:type="spellStart"/>
      <w:r w:rsidRPr="00BA4315">
        <w:t>პროექტი</w:t>
      </w:r>
      <w:proofErr w:type="spellEnd"/>
      <w:r w:rsidRPr="00BA4315">
        <w:rPr>
          <w:rFonts w:cs="AcadNusx"/>
        </w:rPr>
        <w:t xml:space="preserve">, </w:t>
      </w:r>
      <w:proofErr w:type="spellStart"/>
      <w:r w:rsidRPr="00BA4315">
        <w:t>კონსტრუქციული</w:t>
      </w:r>
      <w:proofErr w:type="spellEnd"/>
      <w:r w:rsidRPr="00BA4315">
        <w:t xml:space="preserve"> </w:t>
      </w:r>
      <w:proofErr w:type="spellStart"/>
      <w:r w:rsidRPr="00BA4315">
        <w:t>ან</w:t>
      </w:r>
      <w:proofErr w:type="spellEnd"/>
      <w:r w:rsidRPr="00BA4315">
        <w:rPr>
          <w:rFonts w:cs="AcadNusx"/>
        </w:rPr>
        <w:t>/</w:t>
      </w:r>
      <w:proofErr w:type="spellStart"/>
      <w:r w:rsidRPr="00BA4315">
        <w:t>და</w:t>
      </w:r>
      <w:proofErr w:type="spellEnd"/>
      <w:r w:rsidRPr="00BA4315">
        <w:t xml:space="preserve"> </w:t>
      </w:r>
      <w:proofErr w:type="spellStart"/>
      <w:r w:rsidRPr="00BA4315">
        <w:t>ტექნოლოგიური</w:t>
      </w:r>
      <w:proofErr w:type="spellEnd"/>
      <w:r w:rsidRPr="00BA4315">
        <w:t xml:space="preserve"> </w:t>
      </w:r>
      <w:proofErr w:type="spellStart"/>
      <w:r w:rsidRPr="00BA4315">
        <w:t>სქემა</w:t>
      </w:r>
      <w:proofErr w:type="spellEnd"/>
      <w:r w:rsidRPr="00BA4315">
        <w:t xml:space="preserve"> </w:t>
      </w:r>
    </w:p>
    <w:p w:rsidR="00655FF7" w:rsidRPr="00655FF7" w:rsidRDefault="00655FF7" w:rsidP="00655FF7">
      <w:pPr>
        <w:pStyle w:val="Default"/>
        <w:numPr>
          <w:ilvl w:val="0"/>
          <w:numId w:val="2"/>
        </w:numPr>
        <w:jc w:val="both"/>
      </w:pPr>
      <w:proofErr w:type="spellStart"/>
      <w:r w:rsidRPr="00655FF7">
        <w:t>მოსალოდნელი</w:t>
      </w:r>
      <w:proofErr w:type="spellEnd"/>
      <w:r w:rsidRPr="00655FF7">
        <w:t xml:space="preserve"> </w:t>
      </w:r>
      <w:proofErr w:type="spellStart"/>
      <w:r w:rsidRPr="00655FF7">
        <w:t>ემისიების</w:t>
      </w:r>
      <w:proofErr w:type="spellEnd"/>
      <w:r w:rsidRPr="00655FF7">
        <w:t xml:space="preserve"> </w:t>
      </w:r>
      <w:proofErr w:type="spellStart"/>
      <w:r w:rsidRPr="00655FF7">
        <w:t>მოცულობა</w:t>
      </w:r>
      <w:proofErr w:type="spellEnd"/>
      <w:r w:rsidRPr="00655FF7">
        <w:t xml:space="preserve"> </w:t>
      </w:r>
      <w:proofErr w:type="spellStart"/>
      <w:r w:rsidRPr="00655FF7">
        <w:t>და</w:t>
      </w:r>
      <w:proofErr w:type="spellEnd"/>
      <w:r w:rsidRPr="00655FF7">
        <w:t xml:space="preserve"> </w:t>
      </w:r>
      <w:proofErr w:type="spellStart"/>
      <w:r w:rsidRPr="00655FF7">
        <w:t>სახეები</w:t>
      </w:r>
      <w:proofErr w:type="spellEnd"/>
      <w:r w:rsidRPr="00655FF7">
        <w:t xml:space="preserve"> </w:t>
      </w:r>
    </w:p>
    <w:p w:rsidR="00655FF7" w:rsidRPr="00655FF7" w:rsidRDefault="00655FF7" w:rsidP="00655FF7">
      <w:pPr>
        <w:pStyle w:val="Default"/>
        <w:numPr>
          <w:ilvl w:val="0"/>
          <w:numId w:val="2"/>
        </w:numPr>
        <w:jc w:val="both"/>
        <w:rPr>
          <w:rFonts w:cs="AcadNusx"/>
        </w:rPr>
      </w:pPr>
      <w:proofErr w:type="spellStart"/>
      <w:r w:rsidRPr="00655FF7">
        <w:t>დაგეგმილი</w:t>
      </w:r>
      <w:proofErr w:type="spellEnd"/>
      <w:r w:rsidRPr="00655FF7">
        <w:t xml:space="preserve"> </w:t>
      </w:r>
      <w:proofErr w:type="spellStart"/>
      <w:r w:rsidRPr="00655FF7">
        <w:t>საქმიანობის</w:t>
      </w:r>
      <w:proofErr w:type="spellEnd"/>
      <w:r w:rsidRPr="00655FF7">
        <w:t xml:space="preserve"> </w:t>
      </w:r>
      <w:proofErr w:type="spellStart"/>
      <w:r w:rsidRPr="00655FF7">
        <w:t>განხორციელების</w:t>
      </w:r>
      <w:proofErr w:type="spellEnd"/>
      <w:r w:rsidRPr="00655FF7">
        <w:t xml:space="preserve"> </w:t>
      </w:r>
      <w:proofErr w:type="spellStart"/>
      <w:r w:rsidRPr="00655FF7">
        <w:t>ადგილის</w:t>
      </w:r>
      <w:proofErr w:type="spellEnd"/>
      <w:r w:rsidRPr="00655FF7">
        <w:t xml:space="preserve"> </w:t>
      </w:r>
      <w:proofErr w:type="spellStart"/>
      <w:r w:rsidRPr="00655FF7">
        <w:t>სიტუაციური</w:t>
      </w:r>
      <w:proofErr w:type="spellEnd"/>
      <w:r w:rsidRPr="00655FF7">
        <w:t xml:space="preserve"> </w:t>
      </w:r>
      <w:proofErr w:type="spellStart"/>
      <w:r w:rsidRPr="00655FF7">
        <w:t>გეგმა</w:t>
      </w:r>
      <w:proofErr w:type="spellEnd"/>
      <w:r w:rsidRPr="00655FF7">
        <w:t xml:space="preserve"> </w:t>
      </w:r>
      <w:r w:rsidRPr="00655FF7">
        <w:rPr>
          <w:rFonts w:cs="AcadNusx"/>
        </w:rPr>
        <w:t>(</w:t>
      </w:r>
      <w:proofErr w:type="spellStart"/>
      <w:r w:rsidRPr="00655FF7">
        <w:t>მანძილების</w:t>
      </w:r>
      <w:proofErr w:type="spellEnd"/>
      <w:r w:rsidRPr="00655FF7">
        <w:t xml:space="preserve"> </w:t>
      </w:r>
      <w:proofErr w:type="spellStart"/>
      <w:r w:rsidRPr="00655FF7">
        <w:t>მითითებით</w:t>
      </w:r>
      <w:proofErr w:type="spellEnd"/>
      <w:r w:rsidRPr="00655FF7">
        <w:rPr>
          <w:rFonts w:cs="AcadNusx"/>
        </w:rPr>
        <w:t xml:space="preserve">) </w:t>
      </w:r>
    </w:p>
    <w:p w:rsidR="00655FF7" w:rsidRPr="00655FF7" w:rsidRDefault="00655FF7" w:rsidP="00655FF7">
      <w:pPr>
        <w:pStyle w:val="Default"/>
        <w:numPr>
          <w:ilvl w:val="0"/>
          <w:numId w:val="2"/>
        </w:numPr>
        <w:jc w:val="both"/>
        <w:rPr>
          <w:rFonts w:cs="AcadNusx"/>
        </w:rPr>
      </w:pPr>
      <w:proofErr w:type="spellStart"/>
      <w:r w:rsidRPr="00655FF7">
        <w:t>მოკლე</w:t>
      </w:r>
      <w:proofErr w:type="spellEnd"/>
      <w:r w:rsidRPr="00655FF7">
        <w:t xml:space="preserve"> </w:t>
      </w:r>
      <w:proofErr w:type="spellStart"/>
      <w:r w:rsidRPr="00655FF7">
        <w:t>ანოტაცია</w:t>
      </w:r>
      <w:proofErr w:type="spellEnd"/>
      <w:r w:rsidRPr="00655FF7">
        <w:t xml:space="preserve"> </w:t>
      </w:r>
      <w:proofErr w:type="spellStart"/>
      <w:r w:rsidRPr="00655FF7">
        <w:t>საქმიანობის</w:t>
      </w:r>
      <w:proofErr w:type="spellEnd"/>
      <w:r w:rsidRPr="00655FF7">
        <w:t xml:space="preserve"> </w:t>
      </w:r>
      <w:proofErr w:type="spellStart"/>
      <w:r w:rsidRPr="00655FF7">
        <w:t>შესახებ</w:t>
      </w:r>
      <w:proofErr w:type="spellEnd"/>
      <w:r w:rsidRPr="00655FF7">
        <w:t xml:space="preserve"> </w:t>
      </w:r>
      <w:r w:rsidRPr="00655FF7">
        <w:rPr>
          <w:rFonts w:cs="AcadNusx"/>
        </w:rPr>
        <w:t>(</w:t>
      </w:r>
      <w:proofErr w:type="spellStart"/>
      <w:r w:rsidRPr="00655FF7">
        <w:t>არატექნიკური</w:t>
      </w:r>
      <w:proofErr w:type="spellEnd"/>
      <w:r w:rsidRPr="00655FF7">
        <w:t xml:space="preserve"> </w:t>
      </w:r>
      <w:proofErr w:type="spellStart"/>
      <w:r w:rsidRPr="00655FF7">
        <w:t>რეზიუმეს</w:t>
      </w:r>
      <w:proofErr w:type="spellEnd"/>
      <w:r w:rsidRPr="00655FF7">
        <w:t xml:space="preserve"> </w:t>
      </w:r>
      <w:proofErr w:type="spellStart"/>
      <w:r w:rsidRPr="00655FF7">
        <w:t>სახით</w:t>
      </w:r>
      <w:proofErr w:type="spellEnd"/>
      <w:r w:rsidRPr="00655FF7">
        <w:rPr>
          <w:rFonts w:cs="AcadNusx"/>
        </w:rPr>
        <w:t xml:space="preserve">) </w:t>
      </w:r>
    </w:p>
    <w:p w:rsidR="00655FF7" w:rsidRPr="00655FF7" w:rsidRDefault="00655FF7" w:rsidP="00655FF7">
      <w:pPr>
        <w:pStyle w:val="Default"/>
        <w:numPr>
          <w:ilvl w:val="0"/>
          <w:numId w:val="2"/>
        </w:numPr>
        <w:jc w:val="both"/>
      </w:pPr>
      <w:proofErr w:type="spellStart"/>
      <w:r w:rsidRPr="00655FF7">
        <w:t>შენობა-ნაგებობის</w:t>
      </w:r>
      <w:proofErr w:type="spellEnd"/>
      <w:r w:rsidRPr="00655FF7">
        <w:t xml:space="preserve"> </w:t>
      </w:r>
      <w:proofErr w:type="spellStart"/>
      <w:r w:rsidRPr="00655FF7">
        <w:t>დამპროექტებლის</w:t>
      </w:r>
      <w:proofErr w:type="spellEnd"/>
      <w:r w:rsidRPr="00655FF7">
        <w:t xml:space="preserve"> </w:t>
      </w:r>
      <w:proofErr w:type="spellStart"/>
      <w:r w:rsidRPr="00655FF7">
        <w:t>მონაცემები</w:t>
      </w:r>
      <w:proofErr w:type="spellEnd"/>
      <w:r w:rsidRPr="00655FF7">
        <w:t xml:space="preserve"> </w:t>
      </w:r>
    </w:p>
    <w:p w:rsidR="00655FF7" w:rsidRPr="006B7245" w:rsidRDefault="00655FF7" w:rsidP="00655FF7">
      <w:pPr>
        <w:jc w:val="both"/>
        <w:rPr>
          <w:rFonts w:ascii="Sylfaen" w:hAnsi="Sylfaen"/>
          <w:sz w:val="24"/>
          <w:szCs w:val="24"/>
        </w:rPr>
      </w:pPr>
    </w:p>
    <w:p w:rsidR="00655FF7" w:rsidRPr="00655FF7" w:rsidRDefault="00655FF7" w:rsidP="00655FF7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655FF7">
        <w:rPr>
          <w:rFonts w:ascii="Sylfaen" w:hAnsi="Sylfaen"/>
          <w:b/>
          <w:sz w:val="24"/>
          <w:szCs w:val="24"/>
          <w:lang w:val="ka-GE"/>
        </w:rPr>
        <w:t>მესამე სტადიისთვის (</w:t>
      </w:r>
      <w:proofErr w:type="spellStart"/>
      <w:r w:rsidRPr="00655FF7">
        <w:rPr>
          <w:rFonts w:ascii="Sylfaen" w:hAnsi="Sylfaen" w:cs="Sylfaen"/>
          <w:b/>
          <w:sz w:val="24"/>
          <w:szCs w:val="24"/>
        </w:rPr>
        <w:t>მშენებლობის</w:t>
      </w:r>
      <w:proofErr w:type="spellEnd"/>
      <w:r w:rsidRPr="00655FF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5FF7">
        <w:rPr>
          <w:rFonts w:ascii="Sylfaen" w:hAnsi="Sylfaen" w:cs="Sylfaen"/>
          <w:b/>
          <w:sz w:val="24"/>
          <w:szCs w:val="24"/>
        </w:rPr>
        <w:t>ნებართვის</w:t>
      </w:r>
      <w:proofErr w:type="spellEnd"/>
      <w:r w:rsidRPr="00655FF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55FF7">
        <w:rPr>
          <w:rFonts w:ascii="Sylfaen" w:hAnsi="Sylfaen" w:cs="Sylfaen"/>
          <w:b/>
          <w:sz w:val="24"/>
          <w:szCs w:val="24"/>
        </w:rPr>
        <w:t>გაცემა</w:t>
      </w:r>
      <w:proofErr w:type="spellEnd"/>
      <w:r w:rsidRPr="00655FF7">
        <w:rPr>
          <w:rFonts w:ascii="Sylfaen" w:hAnsi="Sylfaen" w:cs="Sylfaen"/>
          <w:b/>
          <w:sz w:val="24"/>
          <w:szCs w:val="24"/>
          <w:lang w:val="ka-GE"/>
        </w:rPr>
        <w:t>):</w:t>
      </w:r>
    </w:p>
    <w:p w:rsidR="00655FF7" w:rsidRPr="00655FF7" w:rsidRDefault="00655FF7" w:rsidP="00655FF7">
      <w:pPr>
        <w:pStyle w:val="Default"/>
        <w:numPr>
          <w:ilvl w:val="0"/>
          <w:numId w:val="3"/>
        </w:numPr>
        <w:jc w:val="both"/>
      </w:pPr>
      <w:proofErr w:type="spellStart"/>
      <w:r w:rsidRPr="00655FF7">
        <w:t>ობიექტის</w:t>
      </w:r>
      <w:proofErr w:type="spellEnd"/>
      <w:r w:rsidRPr="00655FF7">
        <w:t xml:space="preserve"> </w:t>
      </w:r>
      <w:proofErr w:type="spellStart"/>
      <w:r w:rsidRPr="00655FF7">
        <w:t>ადგილმდებარეობის</w:t>
      </w:r>
      <w:proofErr w:type="spellEnd"/>
      <w:r w:rsidRPr="00655FF7">
        <w:t xml:space="preserve"> </w:t>
      </w:r>
      <w:proofErr w:type="spellStart"/>
      <w:r w:rsidRPr="00655FF7">
        <w:t>მისამართი</w:t>
      </w:r>
      <w:proofErr w:type="spellEnd"/>
      <w:r w:rsidRPr="00655FF7">
        <w:t xml:space="preserve"> </w:t>
      </w:r>
      <w:proofErr w:type="spellStart"/>
      <w:r w:rsidRPr="00655FF7">
        <w:t>და</w:t>
      </w:r>
      <w:proofErr w:type="spellEnd"/>
      <w:r w:rsidRPr="00655FF7">
        <w:t xml:space="preserve"> </w:t>
      </w:r>
      <w:proofErr w:type="spellStart"/>
      <w:r w:rsidRPr="00655FF7">
        <w:t>საკადასტრო</w:t>
      </w:r>
      <w:proofErr w:type="spellEnd"/>
      <w:r w:rsidRPr="00655FF7">
        <w:t xml:space="preserve"> </w:t>
      </w:r>
      <w:proofErr w:type="spellStart"/>
      <w:r w:rsidRPr="00655FF7">
        <w:t>კოდი</w:t>
      </w:r>
      <w:proofErr w:type="spellEnd"/>
      <w:r w:rsidRPr="00655FF7">
        <w:t xml:space="preserve"> </w:t>
      </w:r>
    </w:p>
    <w:p w:rsidR="00655FF7" w:rsidRPr="00655FF7" w:rsidRDefault="00655FF7" w:rsidP="00655FF7">
      <w:pPr>
        <w:pStyle w:val="Default"/>
        <w:numPr>
          <w:ilvl w:val="0"/>
          <w:numId w:val="3"/>
        </w:numPr>
        <w:spacing w:after="35"/>
        <w:jc w:val="both"/>
      </w:pPr>
      <w:proofErr w:type="spellStart"/>
      <w:r w:rsidRPr="00655FF7">
        <w:t>შენობა</w:t>
      </w:r>
      <w:r w:rsidRPr="00655FF7">
        <w:rPr>
          <w:rFonts w:cs="AcadNusx"/>
        </w:rPr>
        <w:t>-</w:t>
      </w:r>
      <w:r w:rsidRPr="00655FF7">
        <w:t>ნაგებობის</w:t>
      </w:r>
      <w:proofErr w:type="spellEnd"/>
      <w:r w:rsidRPr="00655FF7">
        <w:t xml:space="preserve"> </w:t>
      </w:r>
      <w:proofErr w:type="spellStart"/>
      <w:r w:rsidRPr="00655FF7">
        <w:t>დამპროექტებლის</w:t>
      </w:r>
      <w:proofErr w:type="spellEnd"/>
      <w:r w:rsidRPr="00655FF7">
        <w:t xml:space="preserve"> </w:t>
      </w:r>
      <w:proofErr w:type="spellStart"/>
      <w:r w:rsidRPr="00655FF7">
        <w:t>მონაცემები</w:t>
      </w:r>
      <w:proofErr w:type="spellEnd"/>
      <w:r w:rsidRPr="00655FF7">
        <w:t xml:space="preserve"> </w:t>
      </w:r>
    </w:p>
    <w:p w:rsidR="00655FF7" w:rsidRDefault="00655FF7" w:rsidP="00655FF7">
      <w:pPr>
        <w:pStyle w:val="Default"/>
        <w:numPr>
          <w:ilvl w:val="0"/>
          <w:numId w:val="3"/>
        </w:numPr>
        <w:jc w:val="both"/>
      </w:pPr>
      <w:proofErr w:type="spellStart"/>
      <w:r w:rsidRPr="00655FF7">
        <w:t>საექსპერტო</w:t>
      </w:r>
      <w:proofErr w:type="spellEnd"/>
      <w:r w:rsidRPr="00655FF7">
        <w:t xml:space="preserve"> </w:t>
      </w:r>
      <w:proofErr w:type="spellStart"/>
      <w:r w:rsidRPr="00655FF7">
        <w:t>დასკვნები</w:t>
      </w:r>
      <w:proofErr w:type="spellEnd"/>
      <w:r w:rsidRPr="00655FF7">
        <w:t xml:space="preserve"> </w:t>
      </w:r>
    </w:p>
    <w:p w:rsidR="009C0813" w:rsidRPr="005700BD" w:rsidRDefault="009C0813" w:rsidP="005700BD">
      <w:pPr>
        <w:jc w:val="both"/>
        <w:rPr>
          <w:sz w:val="24"/>
          <w:szCs w:val="24"/>
        </w:rPr>
      </w:pPr>
    </w:p>
    <w:p w:rsidR="009C0813" w:rsidRPr="006B7245" w:rsidRDefault="009C0813" w:rsidP="009C0813">
      <w:pPr>
        <w:jc w:val="both"/>
        <w:rPr>
          <w:rFonts w:ascii="AcadNusx" w:hAnsi="AcadNusx"/>
          <w:sz w:val="24"/>
          <w:szCs w:val="24"/>
        </w:rPr>
      </w:pPr>
      <w:proofErr w:type="spellStart"/>
      <w:r w:rsidRPr="006B7245">
        <w:rPr>
          <w:rFonts w:ascii="AcadNusx" w:hAnsi="AcadNusx"/>
          <w:b/>
          <w:sz w:val="24"/>
          <w:szCs w:val="24"/>
        </w:rPr>
        <w:t>nebismieri</w:t>
      </w:r>
      <w:proofErr w:type="spellEnd"/>
      <w:r w:rsidRPr="006B7245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6B7245">
        <w:rPr>
          <w:rFonts w:ascii="AcadNusx" w:hAnsi="AcadNusx"/>
          <w:b/>
          <w:sz w:val="24"/>
          <w:szCs w:val="24"/>
        </w:rPr>
        <w:t>SekiTxvis</w:t>
      </w:r>
      <w:proofErr w:type="spellEnd"/>
      <w:r w:rsidRPr="006B7245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6B7245">
        <w:rPr>
          <w:rFonts w:ascii="AcadNusx" w:hAnsi="AcadNusx"/>
          <w:b/>
          <w:sz w:val="24"/>
          <w:szCs w:val="24"/>
        </w:rPr>
        <w:t>SemTxvevaSi</w:t>
      </w:r>
      <w:proofErr w:type="spellEnd"/>
      <w:r w:rsidRPr="006B7245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6B7245">
        <w:rPr>
          <w:rFonts w:ascii="AcadNusx" w:hAnsi="AcadNusx"/>
          <w:b/>
          <w:sz w:val="24"/>
          <w:szCs w:val="24"/>
        </w:rPr>
        <w:t>dagvikavSirdiT</w:t>
      </w:r>
      <w:proofErr w:type="spellEnd"/>
      <w:r w:rsidRPr="006B7245">
        <w:rPr>
          <w:rFonts w:ascii="AcadNusx" w:hAnsi="AcadNusx"/>
          <w:sz w:val="24"/>
          <w:szCs w:val="24"/>
        </w:rPr>
        <w:t xml:space="preserve">:  </w:t>
      </w:r>
    </w:p>
    <w:p w:rsidR="009C0813" w:rsidRPr="006B7245" w:rsidRDefault="009C0813" w:rsidP="009C081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AcadNusx" w:hAnsi="AcadNusx"/>
          <w:sz w:val="24"/>
          <w:szCs w:val="24"/>
        </w:rPr>
      </w:pPr>
      <w:r w:rsidRPr="006B7245">
        <w:rPr>
          <w:rFonts w:ascii="AcadNusx" w:hAnsi="AcadNusx"/>
          <w:sz w:val="24"/>
          <w:szCs w:val="24"/>
          <w:lang w:val="ka-GE"/>
        </w:rPr>
        <w:t>giorgi metreveli (proeqtis menejeri)</w:t>
      </w:r>
      <w:r w:rsidRPr="006B7245">
        <w:rPr>
          <w:rFonts w:ascii="AcadNusx" w:hAnsi="AcadNusx"/>
          <w:sz w:val="24"/>
          <w:szCs w:val="24"/>
        </w:rPr>
        <w:t>: +995 574 240200</w:t>
      </w:r>
    </w:p>
    <w:p w:rsidR="009C0813" w:rsidRPr="006B7245" w:rsidRDefault="008B5688" w:rsidP="009C081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 w:cs="Sylfaen"/>
          <w:sz w:val="24"/>
          <w:szCs w:val="24"/>
        </w:rPr>
        <w:t>aleqsandre</w:t>
      </w:r>
      <w:proofErr w:type="spellEnd"/>
      <w:r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="009365B8" w:rsidRPr="006B7245">
        <w:rPr>
          <w:rFonts w:ascii="AcadNusx" w:hAnsi="AcadNusx"/>
          <w:sz w:val="24"/>
          <w:szCs w:val="24"/>
        </w:rPr>
        <w:t>grZeliZe</w:t>
      </w:r>
      <w:proofErr w:type="spellEnd"/>
      <w:r w:rsidR="009365B8" w:rsidRPr="006B7245">
        <w:rPr>
          <w:rFonts w:ascii="AcadNusx" w:hAnsi="AcadNusx"/>
          <w:sz w:val="24"/>
          <w:szCs w:val="24"/>
        </w:rPr>
        <w:t xml:space="preserve"> (</w:t>
      </w:r>
      <w:proofErr w:type="spellStart"/>
      <w:r w:rsidR="009365B8" w:rsidRPr="006B7245">
        <w:rPr>
          <w:rFonts w:ascii="AcadNusx" w:hAnsi="AcadNusx"/>
          <w:sz w:val="24"/>
          <w:szCs w:val="24"/>
        </w:rPr>
        <w:t>proeqtis</w:t>
      </w:r>
      <w:proofErr w:type="spellEnd"/>
      <w:r w:rsidR="009365B8" w:rsidRPr="006B7245">
        <w:rPr>
          <w:rFonts w:ascii="AcadNusx" w:hAnsi="AcadNusx"/>
          <w:sz w:val="24"/>
          <w:szCs w:val="24"/>
        </w:rPr>
        <w:t xml:space="preserve"> </w:t>
      </w:r>
      <w:proofErr w:type="spellStart"/>
      <w:r w:rsidR="009365B8" w:rsidRPr="006B7245">
        <w:rPr>
          <w:rFonts w:ascii="AcadNusx" w:hAnsi="AcadNusx"/>
          <w:sz w:val="24"/>
          <w:szCs w:val="24"/>
        </w:rPr>
        <w:t>mTavari</w:t>
      </w:r>
      <w:proofErr w:type="spellEnd"/>
      <w:r w:rsidR="009365B8" w:rsidRPr="006B7245">
        <w:rPr>
          <w:rFonts w:ascii="AcadNusx" w:hAnsi="AcadNusx"/>
          <w:sz w:val="24"/>
          <w:szCs w:val="24"/>
        </w:rPr>
        <w:t xml:space="preserve"> </w:t>
      </w:r>
      <w:proofErr w:type="spellStart"/>
      <w:r w:rsidR="009365B8" w:rsidRPr="006B7245">
        <w:rPr>
          <w:rFonts w:ascii="AcadNusx" w:hAnsi="AcadNusx"/>
          <w:sz w:val="24"/>
          <w:szCs w:val="24"/>
        </w:rPr>
        <w:t>specialisti</w:t>
      </w:r>
      <w:proofErr w:type="spellEnd"/>
      <w:r w:rsidR="009365B8" w:rsidRPr="006B7245">
        <w:rPr>
          <w:rFonts w:ascii="AcadNusx" w:hAnsi="AcadNusx"/>
          <w:sz w:val="24"/>
          <w:szCs w:val="24"/>
        </w:rPr>
        <w:t>): +995 591 118180</w:t>
      </w:r>
    </w:p>
    <w:p w:rsidR="009C0813" w:rsidRPr="00655FF7" w:rsidRDefault="009C0813" w:rsidP="009C0813">
      <w:pPr>
        <w:pStyle w:val="Default"/>
        <w:ind w:left="720"/>
        <w:jc w:val="both"/>
      </w:pPr>
    </w:p>
    <w:p w:rsidR="00655FF7" w:rsidRPr="00655FF7" w:rsidRDefault="00655FF7" w:rsidP="00655FF7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55FF7" w:rsidRPr="00655FF7" w:rsidRDefault="00655FF7" w:rsidP="00612F8B">
      <w:pPr>
        <w:jc w:val="both"/>
        <w:rPr>
          <w:rFonts w:ascii="Sylfaen" w:hAnsi="Sylfaen"/>
          <w:b/>
          <w:sz w:val="24"/>
          <w:lang w:val="ka-GE"/>
        </w:rPr>
      </w:pPr>
    </w:p>
    <w:sectPr w:rsidR="00655FF7" w:rsidRPr="00655F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B1" w:rsidRDefault="004678B1" w:rsidP="00655FF7">
      <w:pPr>
        <w:spacing w:after="0" w:line="240" w:lineRule="auto"/>
      </w:pPr>
      <w:r>
        <w:separator/>
      </w:r>
    </w:p>
  </w:endnote>
  <w:endnote w:type="continuationSeparator" w:id="0">
    <w:p w:rsidR="004678B1" w:rsidRDefault="004678B1" w:rsidP="0065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234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FF7" w:rsidRDefault="00655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2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5FF7" w:rsidRDefault="00655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B1" w:rsidRDefault="004678B1" w:rsidP="00655FF7">
      <w:pPr>
        <w:spacing w:after="0" w:line="240" w:lineRule="auto"/>
      </w:pPr>
      <w:r>
        <w:separator/>
      </w:r>
    </w:p>
  </w:footnote>
  <w:footnote w:type="continuationSeparator" w:id="0">
    <w:p w:rsidR="004678B1" w:rsidRDefault="004678B1" w:rsidP="0065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6F4"/>
    <w:multiLevelType w:val="hybridMultilevel"/>
    <w:tmpl w:val="3ECC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96BE0"/>
    <w:multiLevelType w:val="hybridMultilevel"/>
    <w:tmpl w:val="DBB43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5171D2"/>
    <w:multiLevelType w:val="hybridMultilevel"/>
    <w:tmpl w:val="8B84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4EFC"/>
    <w:multiLevelType w:val="hybridMultilevel"/>
    <w:tmpl w:val="2B2A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C3BA0"/>
    <w:multiLevelType w:val="hybridMultilevel"/>
    <w:tmpl w:val="4ACC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8B"/>
    <w:rsid w:val="000252EA"/>
    <w:rsid w:val="00041653"/>
    <w:rsid w:val="00096DEA"/>
    <w:rsid w:val="000E0E63"/>
    <w:rsid w:val="000F1A1D"/>
    <w:rsid w:val="001C078F"/>
    <w:rsid w:val="001D43CD"/>
    <w:rsid w:val="0023135D"/>
    <w:rsid w:val="002A3F64"/>
    <w:rsid w:val="002F45C2"/>
    <w:rsid w:val="00360118"/>
    <w:rsid w:val="00362D6D"/>
    <w:rsid w:val="00407C3A"/>
    <w:rsid w:val="004678B1"/>
    <w:rsid w:val="004C606E"/>
    <w:rsid w:val="004E6FD5"/>
    <w:rsid w:val="005700BD"/>
    <w:rsid w:val="005A209B"/>
    <w:rsid w:val="005B69F3"/>
    <w:rsid w:val="00612F8B"/>
    <w:rsid w:val="00655FF7"/>
    <w:rsid w:val="006815D3"/>
    <w:rsid w:val="006B7245"/>
    <w:rsid w:val="007414D8"/>
    <w:rsid w:val="00763E74"/>
    <w:rsid w:val="007D359A"/>
    <w:rsid w:val="00851233"/>
    <w:rsid w:val="008A642C"/>
    <w:rsid w:val="008B5688"/>
    <w:rsid w:val="00906B12"/>
    <w:rsid w:val="00915802"/>
    <w:rsid w:val="0092248C"/>
    <w:rsid w:val="009365B8"/>
    <w:rsid w:val="00942160"/>
    <w:rsid w:val="00942E60"/>
    <w:rsid w:val="00982B4F"/>
    <w:rsid w:val="009C0813"/>
    <w:rsid w:val="00A02B9B"/>
    <w:rsid w:val="00A604E0"/>
    <w:rsid w:val="00A93CD9"/>
    <w:rsid w:val="00AB52F5"/>
    <w:rsid w:val="00AF2279"/>
    <w:rsid w:val="00B358F4"/>
    <w:rsid w:val="00BA4315"/>
    <w:rsid w:val="00C00269"/>
    <w:rsid w:val="00C24571"/>
    <w:rsid w:val="00C428DC"/>
    <w:rsid w:val="00D14F87"/>
    <w:rsid w:val="00D41702"/>
    <w:rsid w:val="00D82503"/>
    <w:rsid w:val="00E561F3"/>
    <w:rsid w:val="00E66CC8"/>
    <w:rsid w:val="00E84681"/>
    <w:rsid w:val="00EE34F3"/>
    <w:rsid w:val="00EE467E"/>
    <w:rsid w:val="00F3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3F86"/>
  <w15:docId w15:val="{34E9098D-73EC-4DCC-9A36-2A126ACF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F8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655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F7"/>
  </w:style>
  <w:style w:type="paragraph" w:styleId="Footer">
    <w:name w:val="footer"/>
    <w:basedOn w:val="Normal"/>
    <w:link w:val="FooterChar"/>
    <w:uiPriority w:val="99"/>
    <w:unhideWhenUsed/>
    <w:rsid w:val="0065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F7"/>
  </w:style>
  <w:style w:type="paragraph" w:styleId="BalloonText">
    <w:name w:val="Balloon Text"/>
    <w:basedOn w:val="Normal"/>
    <w:link w:val="BalloonTextChar"/>
    <w:uiPriority w:val="99"/>
    <w:semiHidden/>
    <w:unhideWhenUsed/>
    <w:rsid w:val="0036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Chikovani (GRPC)</dc:creator>
  <cp:lastModifiedBy>Giorgi Metreveli</cp:lastModifiedBy>
  <cp:revision>3</cp:revision>
  <cp:lastPrinted>2018-07-16T07:14:00Z</cp:lastPrinted>
  <dcterms:created xsi:type="dcterms:W3CDTF">2018-07-31T05:46:00Z</dcterms:created>
  <dcterms:modified xsi:type="dcterms:W3CDTF">2018-08-01T10:33:00Z</dcterms:modified>
</cp:coreProperties>
</file>